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C3" w:rsidRDefault="00B451C9"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-63500</wp:posOffset>
            </wp:positionV>
            <wp:extent cx="2115820" cy="9582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3" t="-96" r="-43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9C3" w:rsidRDefault="00AD69C3"/>
    <w:p w:rsidR="00AD69C3" w:rsidRDefault="00AD69C3"/>
    <w:p w:rsidR="00AD69C3" w:rsidRDefault="00AD69C3"/>
    <w:p w:rsidR="00AD69C3" w:rsidRDefault="00AD69C3"/>
    <w:p w:rsidR="00AD69C3" w:rsidRDefault="00AD69C3"/>
    <w:p w:rsidR="00AD69C3" w:rsidRDefault="00B451C9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AD69C3" w:rsidRDefault="00AD69C3">
      <w:pPr>
        <w:ind w:firstLine="709"/>
        <w:jc w:val="both"/>
        <w:rPr>
          <w:sz w:val="28"/>
          <w:szCs w:val="20"/>
        </w:rPr>
      </w:pPr>
    </w:p>
    <w:p w:rsidR="00AD69C3" w:rsidRDefault="00B451C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Эксперты кадастровой палаты расскажут, как устранить техническую ошибку</w:t>
      </w:r>
    </w:p>
    <w:p w:rsidR="00AD69C3" w:rsidRDefault="00AD69C3">
      <w:pPr>
        <w:ind w:firstLine="709"/>
        <w:jc w:val="both"/>
        <w:rPr>
          <w:sz w:val="28"/>
          <w:szCs w:val="28"/>
        </w:rPr>
      </w:pPr>
    </w:p>
    <w:p w:rsidR="00AD69C3" w:rsidRDefault="00B451C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 октября 2022 года с 09.00 до 12.00 часов эксперты Кадастровой палаты Алтайского края ответят на вопросы жителей региона об исправлении технических ошибок в </w:t>
      </w:r>
      <w:r>
        <w:rPr>
          <w:b/>
          <w:bCs/>
          <w:sz w:val="28"/>
          <w:szCs w:val="28"/>
        </w:rPr>
        <w:t>сведениях Единого государственного реестра недвижимости (ЕГРН).</w:t>
      </w:r>
    </w:p>
    <w:p w:rsidR="00AD69C3" w:rsidRDefault="00B4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 любом информационном ресурсе, в Едином государственном реестре недвижимости (ЕРГН) могут содержаться технические ошибки. Встречаются они не часто, однако их возможность нельзя исключать.</w:t>
      </w:r>
      <w:r>
        <w:rPr>
          <w:sz w:val="28"/>
          <w:szCs w:val="28"/>
        </w:rPr>
        <w:t xml:space="preserve"> Под технической ошибкой понимается описка, опечатка, грамматическая или арифметическая ошибка, либо подобная ошибка, допущенная регистрирующим органом и приведшая к несоответствию сведений, содержащихся в ЕГРН, сведениям в документах, на основании которых</w:t>
      </w:r>
      <w:r>
        <w:rPr>
          <w:sz w:val="28"/>
          <w:szCs w:val="28"/>
        </w:rPr>
        <w:t xml:space="preserve"> в ЕГРН вносилась информация.</w:t>
      </w:r>
    </w:p>
    <w:p w:rsidR="00AD69C3" w:rsidRDefault="00B4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делать собственнику, обнаружившему неточности? </w:t>
      </w:r>
    </w:p>
    <w:p w:rsidR="00AD69C3" w:rsidRDefault="00B4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чего начать активные действия? </w:t>
      </w:r>
    </w:p>
    <w:p w:rsidR="00AD69C3" w:rsidRDefault="00B4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внести изменения в сведения ЕГРН? </w:t>
      </w:r>
    </w:p>
    <w:p w:rsidR="00AD69C3" w:rsidRDefault="00B4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Куда обратиться за исправлением ошибки? </w:t>
      </w:r>
    </w:p>
    <w:p w:rsidR="00AD69C3" w:rsidRDefault="00B4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происходит исправление технической ошибки в ЕГ</w:t>
      </w:r>
      <w:r>
        <w:rPr>
          <w:sz w:val="28"/>
          <w:szCs w:val="28"/>
        </w:rPr>
        <w:t>РН?</w:t>
      </w:r>
    </w:p>
    <w:p w:rsidR="00AD69C3" w:rsidRDefault="00B4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эти вопросы жители Алтайского края получат консультации в рамках «горячей» телефонной линии </w:t>
      </w:r>
      <w:r>
        <w:rPr>
          <w:b/>
          <w:bCs/>
          <w:sz w:val="28"/>
          <w:szCs w:val="28"/>
        </w:rPr>
        <w:t>20 октября с 09.00 до 12.00 часов.</w:t>
      </w:r>
      <w:r>
        <w:rPr>
          <w:sz w:val="28"/>
          <w:szCs w:val="28"/>
        </w:rPr>
        <w:t xml:space="preserve"> Эксперты Кадастровой палаты Алтайского края ответят на звонки по телефону </w:t>
      </w:r>
      <w:r>
        <w:rPr>
          <w:b/>
          <w:bCs/>
          <w:sz w:val="28"/>
          <w:szCs w:val="28"/>
        </w:rPr>
        <w:t>8 (3852) 55-76-59 + короткий добавочный номер 71</w:t>
      </w:r>
      <w:r>
        <w:rPr>
          <w:b/>
          <w:bCs/>
          <w:sz w:val="28"/>
          <w:szCs w:val="28"/>
        </w:rPr>
        <w:t>71.</w:t>
      </w:r>
    </w:p>
    <w:p w:rsidR="00AD69C3" w:rsidRDefault="00AD69C3">
      <w:pPr>
        <w:ind w:firstLine="709"/>
        <w:jc w:val="both"/>
        <w:rPr>
          <w:sz w:val="28"/>
          <w:szCs w:val="20"/>
        </w:rPr>
      </w:pPr>
    </w:p>
    <w:p w:rsidR="00AD69C3" w:rsidRDefault="00B451C9">
      <w:pPr>
        <w:jc w:val="both"/>
      </w:pPr>
      <w:r>
        <w:rPr>
          <w:rStyle w:val="-"/>
          <w:i/>
          <w:iCs/>
          <w:color w:val="000000"/>
          <w:sz w:val="26"/>
          <w:szCs w:val="26"/>
          <w:u w:val="none"/>
          <w:shd w:val="clear" w:color="auto" w:fill="FFFFFF"/>
        </w:rPr>
        <w:t>Материал подготовлен Кадастровой палатой по Алтайскому краю</w:t>
      </w:r>
    </w:p>
    <w:p w:rsidR="00AD69C3" w:rsidRDefault="00B451C9">
      <w:pPr>
        <w:jc w:val="both"/>
      </w:pPr>
      <w:r>
        <w:rPr>
          <w:rStyle w:val="-"/>
          <w:i/>
          <w:iCs/>
          <w:color w:val="000000"/>
          <w:sz w:val="26"/>
          <w:szCs w:val="26"/>
          <w:u w:val="none"/>
          <w:shd w:val="clear" w:color="auto" w:fill="FFFFFF"/>
        </w:rPr>
        <w:t xml:space="preserve">Контакты для СМИ: </w:t>
      </w:r>
      <w:r>
        <w:rPr>
          <w:rStyle w:val="-"/>
          <w:i/>
          <w:iCs/>
          <w:color w:val="000000"/>
          <w:sz w:val="26"/>
          <w:szCs w:val="26"/>
          <w:u w:val="none"/>
          <w:shd w:val="clear" w:color="auto" w:fill="FFFFFF"/>
        </w:rPr>
        <w:t>тел. 8 (3852) 55-76-59, доб. 7091, 7092,</w:t>
      </w:r>
    </w:p>
    <w:p w:rsidR="00AD69C3" w:rsidRDefault="00B451C9">
      <w:pPr>
        <w:jc w:val="both"/>
      </w:pPr>
      <w:r>
        <w:rPr>
          <w:rStyle w:val="-"/>
          <w:i/>
          <w:iCs/>
          <w:color w:val="000000"/>
          <w:sz w:val="26"/>
          <w:szCs w:val="26"/>
          <w:u w:val="none"/>
          <w:shd w:val="clear" w:color="auto" w:fill="FFFFFF"/>
        </w:rPr>
        <w:t xml:space="preserve">адрес электронной почты: </w:t>
      </w:r>
      <w:hyperlink r:id="rId5">
        <w:r>
          <w:rPr>
            <w:i/>
            <w:iCs/>
            <w:color w:val="000000"/>
            <w:sz w:val="26"/>
            <w:szCs w:val="26"/>
            <w:shd w:val="clear" w:color="auto" w:fill="FFFFFF"/>
            <w:lang w:val="en-US"/>
          </w:rPr>
          <w:t>press</w:t>
        </w:r>
        <w:r>
          <w:rPr>
            <w:i/>
            <w:iCs/>
            <w:color w:val="000000"/>
            <w:sz w:val="26"/>
            <w:szCs w:val="26"/>
            <w:shd w:val="clear" w:color="auto" w:fill="FFFFFF"/>
          </w:rPr>
          <w:t>@22.</w:t>
        </w:r>
        <w:proofErr w:type="spellStart"/>
        <w:r>
          <w:rPr>
            <w:i/>
            <w:iCs/>
            <w:color w:val="000000"/>
            <w:sz w:val="26"/>
            <w:szCs w:val="26"/>
            <w:shd w:val="clear" w:color="auto" w:fill="FFFFFF"/>
            <w:lang w:val="en-US"/>
          </w:rPr>
          <w:t>kadastr</w:t>
        </w:r>
        <w:proofErr w:type="spellEnd"/>
        <w:r>
          <w:rPr>
            <w:i/>
            <w:iCs/>
            <w:color w:val="000000"/>
            <w:sz w:val="26"/>
            <w:szCs w:val="26"/>
            <w:shd w:val="clear" w:color="auto" w:fill="FFFFFF"/>
          </w:rPr>
          <w:t>.</w:t>
        </w:r>
        <w:proofErr w:type="spellStart"/>
        <w:r>
          <w:rPr>
            <w:i/>
            <w:iCs/>
            <w:color w:val="000000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B451C9">
        <w:rPr>
          <w:rStyle w:val="-"/>
          <w:i/>
          <w:iCs/>
          <w:color w:val="000000"/>
          <w:sz w:val="26"/>
          <w:szCs w:val="26"/>
          <w:u w:val="none"/>
          <w:shd w:val="clear" w:color="auto" w:fill="FFFFFF"/>
        </w:rPr>
        <w:t xml:space="preserve">. </w:t>
      </w:r>
    </w:p>
    <w:p w:rsidR="00AD69C3" w:rsidRDefault="00B451C9">
      <w:pPr>
        <w:jc w:val="both"/>
      </w:pPr>
      <w:r>
        <w:rPr>
          <w:rStyle w:val="-"/>
          <w:i/>
          <w:iCs/>
          <w:color w:val="000000"/>
          <w:sz w:val="26"/>
          <w:szCs w:val="26"/>
          <w:u w:val="none"/>
          <w:shd w:val="clear" w:color="auto" w:fill="FFFFFF"/>
        </w:rPr>
        <w:t xml:space="preserve">Официальная страница в соц. сети: </w:t>
      </w:r>
      <w:r>
        <w:rPr>
          <w:rStyle w:val="-"/>
          <w:i/>
          <w:iCs/>
          <w:color w:val="000000"/>
          <w:sz w:val="26"/>
          <w:szCs w:val="26"/>
          <w:u w:val="none"/>
          <w:shd w:val="clear" w:color="auto" w:fill="FFFFFF"/>
        </w:rPr>
        <w:t>https://vk.com/kadastr22</w:t>
      </w:r>
    </w:p>
    <w:sectPr w:rsidR="00AD69C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C3"/>
    <w:rsid w:val="00AD69C3"/>
    <w:rsid w:val="00B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07BB6-CAE1-4889-B448-9BF42A2D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E7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9E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22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Инспектор</cp:lastModifiedBy>
  <cp:revision>2</cp:revision>
  <dcterms:created xsi:type="dcterms:W3CDTF">2022-10-18T02:18:00Z</dcterms:created>
  <dcterms:modified xsi:type="dcterms:W3CDTF">2022-10-18T02:18:00Z</dcterms:modified>
  <dc:language>ru-RU</dc:language>
</cp:coreProperties>
</file>