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/>
        <w:drawing>
          <wp:inline distT="0" distB="0" distL="0" distR="0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shd w:fill="FFFFFF" w:val="clear"/>
        </w:rPr>
        <w:t>Кадастровая палата: что необходимо знать о выписках из ЕГРН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fill="FFFFFF" w:val="clear"/>
          <w:lang w:eastAsia="ru-RU"/>
        </w:rPr>
        <w:t>В 2021 году Кадастровой палатой по Алтайскому краю выдано более 2 млн. сведений из Единого государственного реестра недвижимости (ЕГРН). Статистика обращений свидетельствует, что жители региона не всегда знают, какой вид выписок из ЕГРН следует выбирать. Эксперты ведомства рассказали о видах выдаваемых сведений, и в каких случаях их следует заказывать.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  <w:lang w:eastAsia="ru-RU"/>
        </w:rPr>
        <w:t>ЕГРН – является единственным источником, содержащим актуальные данные об объектах недвижимости и их владельцах. Сведения из ЕГРН предоставляются в форме выписки и имеют достаточно широкое применение. Они требуются при совершении любых сделок купли-продажи недвижимости, при оформлении наследства, субсидий, компенсации, приватизации, дарении, кредитовании в банке, при судебных спорах и в других ситуациях.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  <w:lang w:eastAsia="ru-RU"/>
        </w:rPr>
        <w:t>Выписки содержат информацию об основных характеристиках объекта, сведения о правообладателях, о кадастровой стоимости, обременениях и многом другом.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fill="FFFFFF" w:val="clear"/>
          <w:lang w:eastAsia="ru-RU"/>
        </w:rPr>
        <w:t>«Объем информации в выписке зависит от ее вида и доступности запрашиваемых сведений. Существуют общедоступные выписки и те, которые могут запросить только ограниченный круг лиц. Выписки, содержащие сведения ограниченного доступа, могут быть предоставлены только правообладателям и их законным представителям, а также  лицам, указанным в п. 13 ст. 62 Закона «О государственной регистрации недвижимости</w:t>
      </w:r>
      <w:r>
        <w:rPr>
          <w:color w:val="000000"/>
          <w:sz w:val="28"/>
          <w:szCs w:val="28"/>
          <w:shd w:fill="FFFFFF" w:val="clear"/>
          <w:lang w:eastAsia="ru-RU"/>
        </w:rPr>
        <w:t xml:space="preserve">», - отметил </w:t>
      </w:r>
      <w:r>
        <w:rPr>
          <w:b/>
          <w:bCs/>
          <w:color w:val="000000"/>
          <w:sz w:val="28"/>
          <w:szCs w:val="28"/>
          <w:shd w:fill="FFFFFF" w:val="clear"/>
          <w:lang w:eastAsia="ru-RU"/>
        </w:rPr>
        <w:t>директор Кадастровой палаты по Алтайскому краю Дмитрий Комиссаров</w:t>
      </w:r>
      <w:r>
        <w:rPr>
          <w:color w:val="000000"/>
          <w:sz w:val="28"/>
          <w:szCs w:val="28"/>
          <w:shd w:fill="FFFFFF" w:val="clear"/>
          <w:lang w:eastAsia="ru-RU"/>
        </w:rPr>
        <w:t>.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  <w:lang w:eastAsia="ru-RU"/>
        </w:rPr>
        <w:t>К общедоступным сведениям относятся: об объекте недвижимости, об основных характеристиках и зарегистрированных правах на объект недвижимости, о зарегистрированных договорах участия в долевом строительстве, о переходе прав на объект недвижимости, о кадастровой стоимости объекта недвижимости, о зонах и территориях с особыми условиями использования, об административно-территориальном делении, кадастровый план территории. Среди них наиболее востребованы следующие виды выписок: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  <w:lang w:eastAsia="ru-RU"/>
        </w:rPr>
        <w:t>1. Выписка из ЕГРН об основных характеристиках и зарегистрированных правах на объект недвижимости</w:t>
      </w:r>
      <w:r>
        <w:rPr>
          <w:color w:val="000000"/>
          <w:sz w:val="28"/>
          <w:szCs w:val="28"/>
          <w:shd w:fill="FFFFFF" w:val="clear"/>
          <w:lang w:eastAsia="ru-RU"/>
        </w:rPr>
        <w:t xml:space="preserve"> - содержит информацию о собственнике, адресе объекта, его кадастровой стоимости, дате завершения строительства и ввода объекта в эксплуатацию, сведения об ограничении прав и обременении объекта, план (схема) расположения, отметка о согласии или отсутствии согласия супруга (супруги) на продажу объекта недвижимости. Выписку чаще всего запрашивают при продаже или залоге недвижимости. Если выписку запрашивает не собственник недвижимости, документ выдается в неполном виде.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  <w:lang w:eastAsia="ru-RU"/>
        </w:rPr>
        <w:t>2. Выписка из ЕГРН об объекте недвижимости</w:t>
      </w:r>
      <w:r>
        <w:rPr>
          <w:color w:val="000000"/>
          <w:sz w:val="28"/>
          <w:szCs w:val="28"/>
          <w:shd w:fill="FFFFFF" w:val="clear"/>
          <w:lang w:eastAsia="ru-RU"/>
        </w:rPr>
        <w:t xml:space="preserve"> - содержит самую полную информацию о характеристиках объекта недвижимости, описание местоположения объекта, отнесение недвижимости к объектам культурного наследия, а также ограничениях, устанавливаемых охранными зонами и зонами с особыми условиями использования территории, о частях объекта недвижимости.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  <w:lang w:eastAsia="ru-RU"/>
        </w:rPr>
        <w:t xml:space="preserve">3. Выписка из ЕГРН о переходе прав на объект </w:t>
      </w:r>
      <w:r>
        <w:rPr>
          <w:color w:val="000000"/>
          <w:sz w:val="28"/>
          <w:szCs w:val="28"/>
          <w:shd w:fill="FFFFFF" w:val="clear"/>
          <w:lang w:eastAsia="ru-RU"/>
        </w:rPr>
        <w:t>- содержит информацию о текущем владельце и предыдущих собственниках, даты регистрации переходов права собственности и виде документов, на основании которых был зарегистрирован такой переход. Такая выписка может понадобиться, чтобы узнать полную историю владения объектом.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  <w:lang w:eastAsia="ru-RU"/>
        </w:rPr>
        <w:t xml:space="preserve">4. Выписка из ЕГРН о зарегистрированных договорах участия в долевом строительстве (ДДУ) </w:t>
      </w:r>
      <w:r>
        <w:rPr>
          <w:color w:val="000000"/>
          <w:sz w:val="28"/>
          <w:szCs w:val="28"/>
          <w:shd w:fill="FFFFFF" w:val="clear"/>
          <w:lang w:eastAsia="ru-RU"/>
        </w:rPr>
        <w:t>- содержит информацию о количестве объектов, проданных в конкретном строящемся доме. Документ представляет собой выписку о земельном участке, где правообладателем участка указывается застройщик, а зарегистрированные ДДУ перечисляются в качестве обременений на сам участок.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  <w:lang w:eastAsia="ru-RU"/>
        </w:rPr>
        <w:t>5. Выписка из ЕГРН о кадастровой стоимости объекта недвижимости</w:t>
      </w:r>
      <w:r>
        <w:rPr>
          <w:color w:val="000000"/>
          <w:sz w:val="28"/>
          <w:szCs w:val="28"/>
          <w:shd w:fill="FFFFFF" w:val="clear"/>
          <w:lang w:eastAsia="ru-RU"/>
        </w:rPr>
        <w:t xml:space="preserve"> - содержит расширенную информацию о величине кадастровой стоимости на дату, указанную в запросе, об акте, на основании которого определена кадастровая стоимость, о кадастровом номере объекта недвижимости, о датах утверждения и применения кадастровой стоимости. Выписка этого типа предоставляется бесплатно и помогает собственникам узнать сведения о кадастровой стоимости объекта недвижимости и проверить правильность расчета налога на имущество.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  <w:lang w:eastAsia="ru-RU"/>
        </w:rPr>
        <w:t>Среди выписок ограниченного доступа наиболее часто запрашивают следующие виды документов: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  <w:lang w:eastAsia="ru-RU"/>
        </w:rPr>
        <w:t>1. Выписка из ЕГРН о правах отдельного лица на имевшиеся (имеющиеся) у него объекты недвижимости</w:t>
      </w:r>
      <w:r>
        <w:rPr>
          <w:color w:val="000000"/>
          <w:sz w:val="28"/>
          <w:szCs w:val="28"/>
          <w:shd w:fill="FFFFFF" w:val="clear"/>
          <w:lang w:eastAsia="ru-RU"/>
        </w:rPr>
        <w:t xml:space="preserve"> - содержатся сведения о наличии всех прав на недвижимость в отношении конкретного лица по состоянию на определенную дату. Такая выписка может пригодиться в случаях, например: если собственник продолжает получать уведомления об уплате налога за недвижимость, которая была продана, при составлении завещания, подготовке документов для оформления различных выплат и т.д.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  <w:lang w:eastAsia="ru-RU"/>
        </w:rPr>
        <w:t>2. Выписка из ЕГРН о признании правообладателя недееспособным или ограниченно дееспособным.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  <w:lang w:eastAsia="ru-RU"/>
        </w:rPr>
        <w:t>3. Справка о лицах, получивших сведения об объекте недвижимого имущества</w:t>
      </w:r>
      <w:r>
        <w:rPr>
          <w:color w:val="000000"/>
          <w:sz w:val="28"/>
          <w:szCs w:val="28"/>
          <w:shd w:fill="FFFFFF" w:val="clear"/>
          <w:lang w:eastAsia="ru-RU"/>
        </w:rPr>
        <w:t xml:space="preserve"> - содержит информацию о физических и юридических лицах или органах местного самоуправления, которые получали сведения об объекте недвижимости, дату получения ими сведений и исходящий номер соответствующей выписки.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  <w:lang w:eastAsia="ru-RU"/>
        </w:rPr>
        <w:t>4.</w:t>
      </w:r>
      <w:r>
        <w:rPr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shd w:fill="FFFFFF" w:val="clear"/>
          <w:lang w:eastAsia="ru-RU"/>
        </w:rPr>
        <w:t>Выписка о содержании правоустанавливающих документов -</w:t>
      </w:r>
      <w:r>
        <w:rPr>
          <w:color w:val="000000"/>
          <w:sz w:val="28"/>
          <w:szCs w:val="28"/>
          <w:shd w:fill="FFFFFF" w:val="clear"/>
          <w:lang w:eastAsia="ru-RU"/>
        </w:rPr>
        <w:t xml:space="preserve"> предоставляет информацию о содержании документа, на основании которого возникло право собственности. Такой вид выписки пригодится, например, если оригиналы документов на жилье утрачены. </w:t>
      </w:r>
    </w:p>
    <w:p>
      <w:pPr>
        <w:pStyle w:val="Style18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 Росреестра по Алтайскому краю Андрей Рерих отметил: «</w:t>
      </w:r>
      <w:r>
        <w:rPr>
          <w:color w:val="000000"/>
          <w:sz w:val="28"/>
          <w:szCs w:val="28"/>
          <w:shd w:fill="FFFFFF" w:val="clear"/>
        </w:rPr>
        <w:t xml:space="preserve">Выписки из ЕГРН можно получить, как в бумажной, так и электронной форме, независимо от места нахождения объекта недвижимости. Выписку из ЕГРН в электронном формате можно получить самостоятельно, оформив документы через сайт </w:t>
      </w:r>
      <w:hyperlink r:id="rId3">
        <w:r>
          <w:rPr>
            <w:color w:val="000000"/>
            <w:sz w:val="28"/>
            <w:szCs w:val="28"/>
            <w:shd w:fill="FFFFFF" w:val="clear"/>
          </w:rPr>
          <w:t>Росреестра</w:t>
        </w:r>
      </w:hyperlink>
      <w:r>
        <w:rPr>
          <w:color w:val="000000"/>
          <w:sz w:val="28"/>
          <w:szCs w:val="28"/>
          <w:shd w:fill="FFFFFF" w:val="clear"/>
        </w:rPr>
        <w:t xml:space="preserve">, </w:t>
      </w:r>
      <w:hyperlink r:id="rId4">
        <w:r>
          <w:rPr>
            <w:color w:val="000000"/>
            <w:sz w:val="28"/>
            <w:szCs w:val="28"/>
            <w:shd w:fill="FFFFFF" w:val="clear"/>
          </w:rPr>
          <w:t>Кадастровой палаты</w:t>
        </w:r>
      </w:hyperlink>
      <w:r>
        <w:rPr>
          <w:color w:val="000000"/>
          <w:sz w:val="28"/>
          <w:szCs w:val="28"/>
          <w:shd w:fill="FFFFFF" w:val="clear"/>
        </w:rPr>
        <w:t xml:space="preserve"> либо через портал </w:t>
      </w:r>
      <w:hyperlink r:id="rId5">
        <w:r>
          <w:rPr>
            <w:color w:val="000000"/>
            <w:sz w:val="28"/>
            <w:szCs w:val="28"/>
            <w:shd w:fill="FFFFFF" w:val="clear"/>
          </w:rPr>
          <w:t>Госуслуг.</w:t>
        </w:r>
      </w:hyperlink>
      <w:r>
        <w:rPr>
          <w:color w:val="000000"/>
          <w:sz w:val="28"/>
          <w:szCs w:val="28"/>
          <w:shd w:fill="FFFFFF" w:val="clear"/>
        </w:rPr>
        <w:t xml:space="preserve"> В этом случае вы получите электронный файл, который открывается на компьютере. Электронная выписка заверяется усиленной электронно-цифровой подписью. Бумажный вариант можно заказать, обратившись в ближайший офис МФЦ».</w:t>
      </w:r>
    </w:p>
    <w:p>
      <w:pPr>
        <w:pStyle w:val="Style18"/>
        <w:spacing w:lineRule="auto" w:line="240" w:before="0" w:after="0"/>
        <w:ind w:firstLine="680"/>
        <w:jc w:val="both"/>
        <w:rPr>
          <w:color w:val="000000"/>
          <w:sz w:val="28"/>
          <w:szCs w:val="28"/>
          <w:shd w:fill="FFFFFF" w:val="clear"/>
          <w:lang w:eastAsia="ru-RU"/>
        </w:rPr>
      </w:pPr>
      <w:r>
        <w:rPr>
          <w:color w:val="000000"/>
          <w:sz w:val="28"/>
          <w:szCs w:val="28"/>
          <w:shd w:fill="FFFFFF" w:val="clear"/>
          <w:lang w:eastAsia="ru-RU"/>
        </w:rPr>
        <w:t>Стоит отметить, что в зависимости от вида, выписки на электронном носителе стоят на 20-60% дешевле, чем бумажные. Независимо от того, на бумаге или в электронном виде будет предоставлена информация, документы во всех случаях сохраняют свою юридическую значимость.</w:t>
      </w:r>
    </w:p>
    <w:p>
      <w:pPr>
        <w:pStyle w:val="Style18"/>
        <w:spacing w:lineRule="auto" w:line="240" w:before="0" w:after="0"/>
        <w:ind w:firstLine="680"/>
        <w:jc w:val="both"/>
        <w:rPr>
          <w:color w:val="000000"/>
          <w:sz w:val="28"/>
          <w:szCs w:val="28"/>
          <w:shd w:fill="FFFFFF" w:val="clear"/>
          <w:lang w:eastAsia="ru-RU"/>
        </w:rPr>
      </w:pPr>
      <w:r>
        <w:rPr>
          <w:color w:val="000000"/>
          <w:sz w:val="28"/>
          <w:szCs w:val="28"/>
          <w:shd w:fill="FFFFFF" w:val="clear"/>
          <w:lang w:eastAsia="ru-RU"/>
        </w:rPr>
      </w:r>
    </w:p>
    <w:p>
      <w:pPr>
        <w:pStyle w:val="Style18"/>
        <w:spacing w:lineRule="auto" w:line="240" w:before="0" w:after="0"/>
        <w:ind w:firstLine="680"/>
        <w:jc w:val="both"/>
        <w:rPr>
          <w:color w:val="000000"/>
          <w:sz w:val="28"/>
          <w:szCs w:val="28"/>
          <w:shd w:fill="FFFFFF" w:val="clear"/>
          <w:lang w:eastAsia="ru-RU"/>
        </w:rPr>
      </w:pPr>
      <w:r>
        <w:rPr>
          <w:sz w:val="28"/>
          <w:szCs w:val="28"/>
        </w:rPr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Об Управлении Росреестра по Алтайскому краю</w:t>
      </w:r>
    </w:p>
    <w:p>
      <w:pPr>
        <w:pStyle w:val="Normal"/>
        <w:rPr>
          <w:rFonts w:ascii="Segoe UI" w:hAnsi="Segoe UI" w:cs="Segoe UI"/>
          <w:sz w:val="18"/>
          <w:szCs w:val="18"/>
          <w:lang w:eastAsia="ru-RU"/>
        </w:rPr>
      </w:pPr>
      <w:r>
        <w:rPr>
          <w:rFonts w:cs="Segoe UI" w:ascii="Segoe UI" w:hAnsi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Segoe UI" w:ascii="Segoe UI" w:hAnsi="Segoe UI"/>
          <w:color w:val="000000"/>
          <w:sz w:val="18"/>
          <w:szCs w:val="18"/>
        </w:rPr>
        <w:t>, главный регистратор Алтайского края</w:t>
      </w:r>
      <w:r>
        <w:rPr>
          <w:rFonts w:cs="Segoe UI" w:ascii="Segoe UI" w:hAnsi="Segoe UI"/>
          <w:sz w:val="18"/>
          <w:szCs w:val="18"/>
        </w:rPr>
        <w:t xml:space="preserve"> - Юрий Викторович Калашников.</w:t>
      </w:r>
    </w:p>
    <w:p>
      <w:pPr>
        <w:pStyle w:val="Normal"/>
        <w:rPr>
          <w:rFonts w:ascii="Segoe UI" w:hAnsi="Segoe UI" w:cs="Segoe UI"/>
          <w:b/>
          <w:b/>
          <w:sz w:val="24"/>
          <w:szCs w:val="24"/>
          <w:lang w:eastAsia="sk-SK"/>
        </w:rPr>
      </w:pPr>
      <w:r>
        <w:rPr>
          <w:rFonts w:cs="Segoe UI" w:ascii="Segoe UI" w:hAnsi="Segoe UI"/>
          <w:b/>
          <w:lang w:eastAsia="sk-SK"/>
        </w:rPr>
        <w:t>Контакты для СМИ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Рыбальченко Елена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 xml:space="preserve">+7 </w:t>
      </w:r>
      <w:r>
        <w:rPr>
          <w:rFonts w:cs="Segoe UI" w:ascii="Segoe UI" w:hAnsi="Segoe UI"/>
          <w:sz w:val="20"/>
          <w:szCs w:val="20"/>
          <w:shd w:fill="FFFFFF" w:val="clear"/>
        </w:rPr>
        <w:t>(3852) 29 17 33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 xml:space="preserve">Слободянник Юлия 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 (3852) 29 17 28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</w:rPr>
      </w:pPr>
      <w:hyperlink r:id="rId6"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22press_rosreestr@mail.ru</w:t>
        </w:r>
      </w:hyperlink>
    </w:p>
    <w:p>
      <w:pPr>
        <w:pStyle w:val="NormalWeb"/>
        <w:spacing w:before="0" w:after="0"/>
        <w:rPr>
          <w:rStyle w:val="Style14"/>
          <w:rFonts w:eastAsia="Calibri"/>
        </w:rPr>
      </w:pPr>
      <w:hyperlink r:id="rId7"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ru</w:t>
        </w:r>
      </w:hyperlink>
    </w:p>
    <w:p>
      <w:pPr>
        <w:pStyle w:val="NormalWeb"/>
        <w:spacing w:before="0" w:after="0"/>
        <w:rPr/>
      </w:pPr>
      <w:r>
        <w:rPr>
          <w:rFonts w:eastAsia="Calibri" w:cs="Segoe UI" w:ascii="Segoe UI" w:hAnsi="Segoe UI"/>
          <w:sz w:val="20"/>
          <w:szCs w:val="20"/>
          <w:lang w:eastAsia="en-US"/>
        </w:rPr>
        <w:t>656002, Барнаул, ул. Советская, д. 16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f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22fa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522fa5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basedOn w:val="DefaultParagraphFont"/>
    <w:link w:val="a7"/>
    <w:semiHidden/>
    <w:qFormat/>
    <w:rsid w:val="00522fa5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character" w:styleId="3" w:customStyle="1">
    <w:name w:val="Основной шрифт абзаца3"/>
    <w:qFormat/>
    <w:rsid w:val="00522fa5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8"/>
    <w:semiHidden/>
    <w:unhideWhenUsed/>
    <w:rsid w:val="00522fa5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22fa5"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22f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osreestr.gov.ru/eservices/request_info_from_egrn/" TargetMode="External"/><Relationship Id="rId4" Type="http://schemas.openxmlformats.org/officeDocument/2006/relationships/hyperlink" Target="https://kadastr.ru/" TargetMode="External"/><Relationship Id="rId5" Type="http://schemas.openxmlformats.org/officeDocument/2006/relationships/hyperlink" Target="https://www.gosuslugi.ru/" TargetMode="External"/><Relationship Id="rId6" Type="http://schemas.openxmlformats.org/officeDocument/2006/relationships/hyperlink" Target="mailto:22press_rosreestr@mail.ru" TargetMode="External"/><Relationship Id="rId7" Type="http://schemas.openxmlformats.org/officeDocument/2006/relationships/hyperlink" Target="http://www.rosreestr.ru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Pages>3</Pages>
  <Words>937</Words>
  <Characters>6623</Characters>
  <CharactersWithSpaces>7534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2022-03-28T01:36:00Z</dcterms:created>
  <dc:creator>Слободянник Юлия Олеговна</dc:creator>
  <dc:description/>
  <dc:language>ru-RU</dc:language>
  <cp:lastModifiedBy/>
  <dcterms:modified xsi:type="dcterms:W3CDTF">2022-03-28T08:54:27Z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